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259B" w14:textId="7D904F1B" w:rsidR="001E77F2" w:rsidRDefault="00FF6550" w:rsidP="00D547B6">
      <w:pPr>
        <w:jc w:val="center"/>
        <w:rPr>
          <w:rFonts w:cstheme="minorHAnsi"/>
          <w:b/>
        </w:rPr>
      </w:pPr>
      <w:r w:rsidRPr="00FF6550">
        <w:rPr>
          <w:rFonts w:cstheme="minorHAnsi"/>
          <w:b/>
        </w:rPr>
        <w:t>Kryteria procesu potwierdzania ważności wyników – ustalanie, analiza i reakcja na wyniki niezgodne z wymaganiami</w:t>
      </w:r>
    </w:p>
    <w:p w14:paraId="0B0EF799" w14:textId="77777777" w:rsidR="00FF6550" w:rsidRPr="00504372" w:rsidRDefault="00FF6550" w:rsidP="00D547B6">
      <w:pPr>
        <w:jc w:val="center"/>
        <w:rPr>
          <w:rFonts w:cstheme="minorHAnsi"/>
          <w:b/>
        </w:rPr>
      </w:pPr>
    </w:p>
    <w:p w14:paraId="68BD28E3" w14:textId="0E243DAA" w:rsidR="0067784C" w:rsidRDefault="0067784C" w:rsidP="00D547B6">
      <w:pPr>
        <w:jc w:val="center"/>
        <w:rPr>
          <w:rFonts w:cstheme="minorHAnsi"/>
          <w:b/>
        </w:rPr>
      </w:pPr>
      <w:r w:rsidRPr="00504372">
        <w:rPr>
          <w:rFonts w:cstheme="minorHAnsi"/>
          <w:b/>
        </w:rPr>
        <w:t xml:space="preserve">Szkolenie </w:t>
      </w:r>
      <w:r w:rsidR="00FF6550">
        <w:rPr>
          <w:rFonts w:cstheme="minorHAnsi"/>
          <w:b/>
        </w:rPr>
        <w:t>jednodniowe</w:t>
      </w:r>
    </w:p>
    <w:p w14:paraId="17B038C5" w14:textId="5E7EA7BE" w:rsidR="00504372" w:rsidRDefault="00504372" w:rsidP="00D547B6">
      <w:pPr>
        <w:jc w:val="center"/>
        <w:rPr>
          <w:rFonts w:cstheme="minorHAnsi"/>
          <w:b/>
        </w:rPr>
      </w:pPr>
    </w:p>
    <w:p w14:paraId="69E4BA57" w14:textId="583D7190" w:rsidR="001A3D3A" w:rsidRPr="00504372" w:rsidRDefault="001A3D3A" w:rsidP="001A3D3A">
      <w:pPr>
        <w:rPr>
          <w:rFonts w:cstheme="minorHAnsi"/>
          <w:bCs/>
        </w:rPr>
      </w:pPr>
      <w:r w:rsidRPr="00504372">
        <w:rPr>
          <w:rFonts w:cstheme="minorHAnsi"/>
          <w:b/>
        </w:rPr>
        <w:t xml:space="preserve">Informacje o szkoleniu: </w:t>
      </w:r>
      <w:r w:rsidRPr="00504372">
        <w:rPr>
          <w:rFonts w:cstheme="minorHAnsi"/>
          <w:bCs/>
        </w:rPr>
        <w:t xml:space="preserve">szkolenie w formie online </w:t>
      </w:r>
    </w:p>
    <w:p w14:paraId="475E4163" w14:textId="05FF4A2F" w:rsidR="001A3D3A" w:rsidRPr="00504372" w:rsidRDefault="001A3D3A" w:rsidP="00D547B6">
      <w:pPr>
        <w:jc w:val="center"/>
        <w:rPr>
          <w:rFonts w:cstheme="minorHAnsi"/>
          <w:b/>
        </w:rPr>
      </w:pPr>
    </w:p>
    <w:p w14:paraId="2DCDB109" w14:textId="1F5E6991" w:rsidR="001A3D3A" w:rsidRPr="00504372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Cel szkolenia: </w:t>
      </w:r>
      <w:r w:rsidR="00825D72" w:rsidRPr="00825D72">
        <w:rPr>
          <w:rFonts w:cstheme="minorHAnsi"/>
          <w:bCs/>
        </w:rPr>
        <w:t xml:space="preserve">Nabycie praktycznych umiejętności w obszarze </w:t>
      </w:r>
      <w:r w:rsidR="00825D72">
        <w:rPr>
          <w:rFonts w:cstheme="minorHAnsi"/>
          <w:bCs/>
        </w:rPr>
        <w:t>potwierdzania ważności wyników</w:t>
      </w:r>
      <w:r w:rsidR="00825D72" w:rsidRPr="00825D72">
        <w:rPr>
          <w:rFonts w:cstheme="minorHAnsi"/>
          <w:bCs/>
        </w:rPr>
        <w:t>.</w:t>
      </w:r>
    </w:p>
    <w:p w14:paraId="6F807EFE" w14:textId="1EC54940" w:rsidR="001A3D3A" w:rsidRPr="00504372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Do kogo adresowane jest szkolenie: </w:t>
      </w:r>
      <w:r w:rsidR="00825D72" w:rsidRPr="00825D72">
        <w:rPr>
          <w:rFonts w:cstheme="minorHAnsi"/>
          <w:bCs/>
        </w:rPr>
        <w:t xml:space="preserve">Kierownictwo i personel techniczny laboratoriów </w:t>
      </w:r>
      <w:r w:rsidR="00FF6550">
        <w:rPr>
          <w:rFonts w:cstheme="minorHAnsi"/>
          <w:bCs/>
        </w:rPr>
        <w:t>badawczych</w:t>
      </w:r>
      <w:r w:rsidR="00825D72" w:rsidRPr="00825D72">
        <w:rPr>
          <w:rFonts w:cstheme="minorHAnsi"/>
          <w:bCs/>
        </w:rPr>
        <w:t xml:space="preserve"> zajmujący się </w:t>
      </w:r>
      <w:r w:rsidR="00825D72">
        <w:rPr>
          <w:rFonts w:cstheme="minorHAnsi"/>
          <w:bCs/>
        </w:rPr>
        <w:t xml:space="preserve">planowaniem i </w:t>
      </w:r>
      <w:r w:rsidR="00825D72" w:rsidRPr="00825D72">
        <w:rPr>
          <w:rFonts w:cstheme="minorHAnsi"/>
          <w:bCs/>
        </w:rPr>
        <w:t xml:space="preserve">analizą danych procesu </w:t>
      </w:r>
      <w:r w:rsidR="00825D72">
        <w:rPr>
          <w:rFonts w:cstheme="minorHAnsi"/>
          <w:bCs/>
        </w:rPr>
        <w:t>potwierdzania ważności wyników.</w:t>
      </w:r>
    </w:p>
    <w:p w14:paraId="2CAC0006" w14:textId="13BD0342" w:rsidR="001A3D3A" w:rsidRPr="00504372" w:rsidRDefault="001A3D3A" w:rsidP="001A3D3A">
      <w:pPr>
        <w:jc w:val="both"/>
        <w:rPr>
          <w:rFonts w:cstheme="minorHAnsi"/>
          <w:b/>
        </w:rPr>
      </w:pPr>
      <w:r w:rsidRPr="00504372">
        <w:rPr>
          <w:rFonts w:cstheme="minorHAnsi"/>
          <w:b/>
        </w:rPr>
        <w:t>Zagadnienia omawiane na szkoleniu</w:t>
      </w:r>
      <w:r w:rsidR="00BF2CD2" w:rsidRPr="00504372">
        <w:rPr>
          <w:rFonts w:cstheme="minorHAnsi"/>
          <w:b/>
        </w:rPr>
        <w:t xml:space="preserve">: </w:t>
      </w:r>
      <w:r w:rsidR="001920D8" w:rsidRPr="00504372">
        <w:rPr>
          <w:rFonts w:cstheme="minorHAnsi"/>
          <w:bCs/>
        </w:rPr>
        <w:t xml:space="preserve">Na szkoleniu uczestnicy </w:t>
      </w:r>
      <w:r w:rsidR="00A87433">
        <w:rPr>
          <w:rFonts w:cstheme="minorHAnsi"/>
          <w:bCs/>
        </w:rPr>
        <w:t xml:space="preserve">w praktyczny sposób zapoznają się z procesem potwierdzania ważności wyników według wymagań normy PN-EN ISO/IEC 17025:2018-02. Ważnym elementem szkolenia będzie przypomnienie podstawowych narzędzi statystycznych wykorzystywanych w procesie monitorowania i oceny danych jakości. Omawiane będą zagadnienia właściwego projektowania programów potwierdzania ważności wyników, odpowiedni dobór i rodzaj próbek kontrolnych oraz ustalanie kryteriów oceny uzyskiwanych wyników. Uczestnicy dowiedzą się w jaki sposób powiązać proces walidacji/weryfikacji metod badawczych z procesem potwierdzania ważności wyników. </w:t>
      </w:r>
      <w:r w:rsidR="00BE4A60">
        <w:rPr>
          <w:rFonts w:cstheme="minorHAnsi"/>
          <w:bCs/>
        </w:rPr>
        <w:t>Na spotkaniu poruszone zostaną także takie tematy jak prezentacja graficzna danych jakości (karty kontrolne), analiza trendów czy programy badań biegłości i porównań międzylaboratoryjnych.</w:t>
      </w:r>
    </w:p>
    <w:p w14:paraId="7A8EE97F" w14:textId="18EB85A4" w:rsidR="001A3D3A" w:rsidRPr="00504372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Forma szkolenia: </w:t>
      </w:r>
      <w:r w:rsidRPr="00504372">
        <w:rPr>
          <w:rFonts w:cstheme="minorHAnsi"/>
          <w:bCs/>
        </w:rPr>
        <w:t>wykłady, dyskusja, warsztaty obliczeniowe</w:t>
      </w:r>
      <w:r w:rsidR="00977159">
        <w:rPr>
          <w:rFonts w:cstheme="minorHAnsi"/>
          <w:bCs/>
        </w:rPr>
        <w:t>, praca w grupach.</w:t>
      </w:r>
    </w:p>
    <w:p w14:paraId="0805B816" w14:textId="77777777" w:rsidR="001A3D3A" w:rsidRPr="00504372" w:rsidRDefault="001A3D3A" w:rsidP="001A3D3A">
      <w:pPr>
        <w:jc w:val="both"/>
        <w:rPr>
          <w:rFonts w:cstheme="minorHAnsi"/>
          <w:b/>
        </w:rPr>
      </w:pPr>
    </w:p>
    <w:p w14:paraId="188BEE9E" w14:textId="77777777" w:rsidR="007C3F05" w:rsidRPr="007C3F05" w:rsidRDefault="007C3F05" w:rsidP="007C3F05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C3F05">
        <w:rPr>
          <w:rFonts w:cstheme="minorHAnsi"/>
          <w:bCs/>
        </w:rPr>
        <w:t>Wynik ważny – definicja, wymagania, interpretacja oraz sposób prezentacji na sprawozdaniach z badań;</w:t>
      </w:r>
    </w:p>
    <w:p w14:paraId="5500F425" w14:textId="6A2B0A80" w:rsidR="00977159" w:rsidRPr="00977159" w:rsidRDefault="00977159" w:rsidP="00977159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977159">
        <w:rPr>
          <w:rFonts w:cstheme="minorHAnsi"/>
          <w:bCs/>
        </w:rPr>
        <w:t xml:space="preserve">Testy statystyczne </w:t>
      </w:r>
      <w:r>
        <w:rPr>
          <w:rFonts w:cstheme="minorHAnsi"/>
          <w:bCs/>
        </w:rPr>
        <w:t>wykorzystywane w procesie monitorowania danych</w:t>
      </w:r>
      <w:r w:rsidRPr="00977159">
        <w:rPr>
          <w:rFonts w:cstheme="minorHAnsi"/>
          <w:bCs/>
        </w:rPr>
        <w:t>;</w:t>
      </w:r>
    </w:p>
    <w:p w14:paraId="6885E1A3" w14:textId="77777777" w:rsidR="00C60527" w:rsidRDefault="00C60527" w:rsidP="00C60527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C60527">
        <w:rPr>
          <w:rFonts w:cstheme="minorHAnsi"/>
          <w:bCs/>
        </w:rPr>
        <w:t xml:space="preserve">Procedura </w:t>
      </w:r>
      <w:r>
        <w:rPr>
          <w:rFonts w:cstheme="minorHAnsi"/>
          <w:bCs/>
        </w:rPr>
        <w:t>potwierdzania ważności wyników</w:t>
      </w:r>
      <w:r w:rsidRPr="00C60527">
        <w:rPr>
          <w:rFonts w:cstheme="minorHAnsi"/>
          <w:bCs/>
        </w:rPr>
        <w:t xml:space="preserve"> w odniesieniu do wymagań normy </w:t>
      </w:r>
    </w:p>
    <w:p w14:paraId="193ACD4F" w14:textId="087814C8" w:rsidR="00C60527" w:rsidRPr="00C60527" w:rsidRDefault="00C60527" w:rsidP="00C60527">
      <w:pPr>
        <w:pStyle w:val="Akapitzlist"/>
        <w:rPr>
          <w:rFonts w:cstheme="minorHAnsi"/>
          <w:bCs/>
        </w:rPr>
      </w:pPr>
      <w:r w:rsidRPr="00C60527">
        <w:rPr>
          <w:rFonts w:cstheme="minorHAnsi"/>
          <w:bCs/>
        </w:rPr>
        <w:t>PN-EN ISO</w:t>
      </w:r>
      <w:r>
        <w:rPr>
          <w:rFonts w:cstheme="minorHAnsi"/>
          <w:bCs/>
        </w:rPr>
        <w:t xml:space="preserve">/IEC </w:t>
      </w:r>
      <w:r w:rsidRPr="00C60527">
        <w:rPr>
          <w:rFonts w:cstheme="minorHAnsi"/>
          <w:bCs/>
        </w:rPr>
        <w:t>17025</w:t>
      </w:r>
      <w:r>
        <w:rPr>
          <w:rFonts w:cstheme="minorHAnsi"/>
          <w:bCs/>
        </w:rPr>
        <w:t>:2018-02;</w:t>
      </w:r>
    </w:p>
    <w:p w14:paraId="7FE30233" w14:textId="1A5BF206" w:rsidR="00C60527" w:rsidRDefault="00C60527" w:rsidP="00C60527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C60527">
        <w:rPr>
          <w:rFonts w:cstheme="minorHAnsi"/>
          <w:bCs/>
        </w:rPr>
        <w:t xml:space="preserve">Opracowanie programu </w:t>
      </w:r>
      <w:bookmarkStart w:id="0" w:name="_Hlk127126179"/>
      <w:r>
        <w:rPr>
          <w:rFonts w:cstheme="minorHAnsi"/>
          <w:bCs/>
        </w:rPr>
        <w:t>potwierdzania ważności wyników</w:t>
      </w:r>
      <w:bookmarkEnd w:id="0"/>
      <w:r w:rsidRPr="00C60527">
        <w:rPr>
          <w:rFonts w:cstheme="minorHAnsi"/>
          <w:bCs/>
        </w:rPr>
        <w:t>;</w:t>
      </w:r>
    </w:p>
    <w:p w14:paraId="54609962" w14:textId="65AC7E80" w:rsidR="00A87433" w:rsidRPr="00C60527" w:rsidRDefault="00A87433" w:rsidP="00C60527">
      <w:pPr>
        <w:pStyle w:val="Akapitzlist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Odpowiedni dobór metod potwierdzania ważności wyników do metod badawczych;</w:t>
      </w:r>
    </w:p>
    <w:p w14:paraId="42D848B3" w14:textId="182F5ADD" w:rsidR="00C60527" w:rsidRPr="00C60527" w:rsidRDefault="00C60527" w:rsidP="00C60527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C60527">
        <w:rPr>
          <w:rFonts w:cstheme="minorHAnsi"/>
          <w:bCs/>
        </w:rPr>
        <w:t xml:space="preserve">Analiza danych otrzymywanych w procesie </w:t>
      </w:r>
      <w:r w:rsidR="0070789A" w:rsidRPr="0070789A">
        <w:rPr>
          <w:rFonts w:cstheme="minorHAnsi"/>
          <w:bCs/>
        </w:rPr>
        <w:t>potwierdzania ważności wyników</w:t>
      </w:r>
      <w:r w:rsidRPr="00C60527">
        <w:rPr>
          <w:rFonts w:cstheme="minorHAnsi"/>
          <w:bCs/>
        </w:rPr>
        <w:t>;</w:t>
      </w:r>
    </w:p>
    <w:p w14:paraId="7E69E3B3" w14:textId="395727B4" w:rsidR="00C60527" w:rsidRPr="00C60527" w:rsidRDefault="00C60527" w:rsidP="00C60527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C60527">
        <w:rPr>
          <w:rFonts w:cstheme="minorHAnsi"/>
          <w:bCs/>
        </w:rPr>
        <w:t xml:space="preserve">Karty kontrolne – niezawodne narzędzie stosowane w </w:t>
      </w:r>
      <w:r w:rsidR="0070789A">
        <w:rPr>
          <w:rFonts w:cstheme="minorHAnsi"/>
          <w:bCs/>
        </w:rPr>
        <w:t>monitorowaniu danych jakości</w:t>
      </w:r>
      <w:r w:rsidRPr="00C60527">
        <w:rPr>
          <w:rFonts w:cstheme="minorHAnsi"/>
          <w:bCs/>
        </w:rPr>
        <w:t>;</w:t>
      </w:r>
    </w:p>
    <w:p w14:paraId="648BDC15" w14:textId="505EFB91" w:rsidR="00C60527" w:rsidRPr="00C60527" w:rsidRDefault="00A87433" w:rsidP="00C60527">
      <w:pPr>
        <w:pStyle w:val="Akapitzlist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Ustalanie kryteriów oceny wyników;</w:t>
      </w:r>
    </w:p>
    <w:p w14:paraId="34393B48" w14:textId="5ABB7E8A" w:rsidR="00C60527" w:rsidRPr="00C60527" w:rsidRDefault="00C60527" w:rsidP="00C60527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C60527">
        <w:rPr>
          <w:rFonts w:cstheme="minorHAnsi"/>
          <w:bCs/>
        </w:rPr>
        <w:t>Wskaźniki osiągnięć i kryteria akceptacji wyników</w:t>
      </w:r>
      <w:r w:rsidR="007C3F05">
        <w:rPr>
          <w:rFonts w:cstheme="minorHAnsi"/>
          <w:bCs/>
        </w:rPr>
        <w:t xml:space="preserve"> programów PT/ILC</w:t>
      </w:r>
      <w:r w:rsidRPr="00C60527">
        <w:rPr>
          <w:rFonts w:cstheme="minorHAnsi"/>
          <w:bCs/>
        </w:rPr>
        <w:t>;</w:t>
      </w:r>
    </w:p>
    <w:p w14:paraId="64B33CC4" w14:textId="6C80813A" w:rsidR="00C60527" w:rsidRPr="00C60527" w:rsidRDefault="00C60527" w:rsidP="00A87433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C60527">
        <w:rPr>
          <w:rFonts w:cstheme="minorHAnsi"/>
          <w:bCs/>
        </w:rPr>
        <w:t>Analiza trendów wyników programów PT – przykłady graficznej prezentacji</w:t>
      </w:r>
      <w:r w:rsidR="00A87433">
        <w:rPr>
          <w:rFonts w:cstheme="minorHAnsi"/>
          <w:bCs/>
        </w:rPr>
        <w:t>;</w:t>
      </w:r>
    </w:p>
    <w:p w14:paraId="4B2F1AFF" w14:textId="77777777" w:rsidR="00C60527" w:rsidRPr="00C60527" w:rsidRDefault="00C60527" w:rsidP="00C60527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C60527">
        <w:rPr>
          <w:rFonts w:cstheme="minorHAnsi"/>
          <w:bCs/>
        </w:rPr>
        <w:t xml:space="preserve">Wyniki badań PT/ILC a potwierdzenie metody badawczej ; </w:t>
      </w:r>
    </w:p>
    <w:p w14:paraId="782C33D4" w14:textId="77777777" w:rsidR="007E5B1A" w:rsidRPr="007E5B1A" w:rsidRDefault="007E5B1A" w:rsidP="007E5B1A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E5B1A">
        <w:rPr>
          <w:rFonts w:cstheme="minorHAnsi"/>
          <w:bCs/>
        </w:rPr>
        <w:t>Powiązane procesu walidacji/weryfikacji metody z procesem potwierdzania ważności wyników – w jaki sposób wykorzystać dane uzyskane w trakcie walidacji/weryfikacji do monitorowania jakości w laboratorium;</w:t>
      </w:r>
    </w:p>
    <w:p w14:paraId="52CD3750" w14:textId="252CB367" w:rsidR="007E5B1A" w:rsidRPr="007E5B1A" w:rsidRDefault="007E5B1A" w:rsidP="007E5B1A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E5B1A">
        <w:rPr>
          <w:rFonts w:cstheme="minorHAnsi"/>
          <w:bCs/>
        </w:rPr>
        <w:t xml:space="preserve">Wskazówki dotyczące prowadzenia auditu wewnętrznego w zakresie </w:t>
      </w:r>
      <w:r>
        <w:rPr>
          <w:rFonts w:cstheme="minorHAnsi"/>
          <w:bCs/>
        </w:rPr>
        <w:t>monitorowania danych</w:t>
      </w:r>
      <w:r w:rsidRPr="007E5B1A">
        <w:rPr>
          <w:rFonts w:cstheme="minorHAnsi"/>
          <w:bCs/>
        </w:rPr>
        <w:t>;</w:t>
      </w:r>
    </w:p>
    <w:p w14:paraId="25CFD619" w14:textId="340C0016" w:rsidR="007E5B1A" w:rsidRDefault="007E5B1A" w:rsidP="007E5B1A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E5B1A">
        <w:rPr>
          <w:rFonts w:cstheme="minorHAnsi"/>
          <w:bCs/>
        </w:rPr>
        <w:t xml:space="preserve">Najczęstsze przykłady niezgodności  z obszaru </w:t>
      </w:r>
      <w:r>
        <w:rPr>
          <w:rFonts w:cstheme="minorHAnsi"/>
          <w:bCs/>
        </w:rPr>
        <w:t>potwierdzania ważności wyników</w:t>
      </w:r>
      <w:r w:rsidRPr="007E5B1A">
        <w:rPr>
          <w:rFonts w:cstheme="minorHAnsi"/>
          <w:bCs/>
        </w:rPr>
        <w:t>;</w:t>
      </w:r>
    </w:p>
    <w:p w14:paraId="53C3830D" w14:textId="77777777" w:rsidR="00B76859" w:rsidRPr="00504372" w:rsidRDefault="00B76859">
      <w:pPr>
        <w:rPr>
          <w:rFonts w:cstheme="minorHAnsi"/>
        </w:rPr>
      </w:pPr>
    </w:p>
    <w:sectPr w:rsidR="00B76859" w:rsidRPr="0050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7AD"/>
    <w:multiLevelType w:val="hybridMultilevel"/>
    <w:tmpl w:val="C1A0B59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E48036B"/>
    <w:multiLevelType w:val="hybridMultilevel"/>
    <w:tmpl w:val="7910E714"/>
    <w:lvl w:ilvl="0" w:tplc="85348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6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64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0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E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27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A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6C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A15251"/>
    <w:multiLevelType w:val="hybridMultilevel"/>
    <w:tmpl w:val="9AD6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67CD"/>
    <w:multiLevelType w:val="hybridMultilevel"/>
    <w:tmpl w:val="FEA0F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8173C"/>
    <w:multiLevelType w:val="hybridMultilevel"/>
    <w:tmpl w:val="23664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0122B"/>
    <w:multiLevelType w:val="hybridMultilevel"/>
    <w:tmpl w:val="D73E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A2FF7"/>
    <w:multiLevelType w:val="hybridMultilevel"/>
    <w:tmpl w:val="9398C8B0"/>
    <w:lvl w:ilvl="0" w:tplc="9900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6B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61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0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2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E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6E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EA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4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A45080"/>
    <w:multiLevelType w:val="hybridMultilevel"/>
    <w:tmpl w:val="10607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3699344">
    <w:abstractNumId w:val="1"/>
  </w:num>
  <w:num w:numId="2" w16cid:durableId="639457668">
    <w:abstractNumId w:val="6"/>
  </w:num>
  <w:num w:numId="3" w16cid:durableId="1658605910">
    <w:abstractNumId w:val="5"/>
  </w:num>
  <w:num w:numId="4" w16cid:durableId="810485164">
    <w:abstractNumId w:val="7"/>
  </w:num>
  <w:num w:numId="5" w16cid:durableId="1519199367">
    <w:abstractNumId w:val="0"/>
  </w:num>
  <w:num w:numId="6" w16cid:durableId="412748816">
    <w:abstractNumId w:val="4"/>
  </w:num>
  <w:num w:numId="7" w16cid:durableId="194777990">
    <w:abstractNumId w:val="3"/>
  </w:num>
  <w:num w:numId="8" w16cid:durableId="1659724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26"/>
    <w:rsid w:val="00002A19"/>
    <w:rsid w:val="000B0511"/>
    <w:rsid w:val="00187566"/>
    <w:rsid w:val="001920D8"/>
    <w:rsid w:val="001A3D3A"/>
    <w:rsid w:val="001E77F2"/>
    <w:rsid w:val="002F0872"/>
    <w:rsid w:val="0033479D"/>
    <w:rsid w:val="003E2626"/>
    <w:rsid w:val="0044224D"/>
    <w:rsid w:val="004C4D1A"/>
    <w:rsid w:val="00504372"/>
    <w:rsid w:val="00530414"/>
    <w:rsid w:val="0055033C"/>
    <w:rsid w:val="0064671E"/>
    <w:rsid w:val="0065565E"/>
    <w:rsid w:val="006646EC"/>
    <w:rsid w:val="0067784C"/>
    <w:rsid w:val="006C0258"/>
    <w:rsid w:val="006F1C86"/>
    <w:rsid w:val="0070789A"/>
    <w:rsid w:val="00786BD2"/>
    <w:rsid w:val="007C3F05"/>
    <w:rsid w:val="007E5B1A"/>
    <w:rsid w:val="00825D72"/>
    <w:rsid w:val="00885D79"/>
    <w:rsid w:val="00977159"/>
    <w:rsid w:val="009D396B"/>
    <w:rsid w:val="00A87433"/>
    <w:rsid w:val="00B20546"/>
    <w:rsid w:val="00B76859"/>
    <w:rsid w:val="00BE4A60"/>
    <w:rsid w:val="00BF2CD2"/>
    <w:rsid w:val="00C60527"/>
    <w:rsid w:val="00D2490D"/>
    <w:rsid w:val="00D547B6"/>
    <w:rsid w:val="00D62FBB"/>
    <w:rsid w:val="00DE27B0"/>
    <w:rsid w:val="00FD7A00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2932"/>
  <w15:chartTrackingRefBased/>
  <w15:docId w15:val="{D620EBAE-61D6-427F-B1B0-1587F5BD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86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9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18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3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9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Madejska</cp:lastModifiedBy>
  <cp:revision>2</cp:revision>
  <dcterms:created xsi:type="dcterms:W3CDTF">2024-01-17T11:13:00Z</dcterms:created>
  <dcterms:modified xsi:type="dcterms:W3CDTF">2024-01-17T11:13:00Z</dcterms:modified>
</cp:coreProperties>
</file>